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</w:rPr>
        <w:t xml:space="preserve">David Livingstone School PAC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</w:rPr>
        <w:t xml:space="preserve">Treasurer’s Report May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40"/>
          <w:szCs w:val="40"/>
          <w:u w:val="single"/>
        </w:rPr>
        <w:t xml:space="preserve">PAC General Account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</w:rPr>
        <w:t xml:space="preserve">Opening Balance</w:t>
        <w:tab/>
        <w:tab/>
        <w:tab/>
        <w:tab/>
        <w:tab/>
        <w:tab/>
        <w:tab/>
        <w:t xml:space="preserve">$7233.66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</w:rPr>
        <w:t xml:space="preserve">Monthly activity: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</w:rPr>
        <w:tab/>
        <w:t xml:space="preserve">Deposits – Total $1724.30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</w:rPr>
        <w:tab/>
      </w:r>
      <w:r w:rsidDel="00000000" w:rsidR="00000000" w:rsidRPr="00000000">
        <w:rPr>
          <w:sz w:val="32"/>
          <w:szCs w:val="32"/>
        </w:rPr>
        <w:t xml:space="preserve">Recycling-March</w:t>
        <w:tab/>
        <w:tab/>
        <w:tab/>
        <w:tab/>
        <w:tab/>
        <w:tab/>
        <w:t xml:space="preserve">$157.30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32"/>
          <w:szCs w:val="32"/>
        </w:rPr>
        <w:tab/>
        <w:t xml:space="preserve">Popcorn- April</w:t>
        <w:tab/>
        <w:tab/>
        <w:tab/>
        <w:tab/>
        <w:tab/>
        <w:tab/>
        <w:t xml:space="preserve">$31.00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32"/>
          <w:szCs w:val="32"/>
        </w:rPr>
        <w:tab/>
        <w:t xml:space="preserve">MC Night (drinks, photos, donations, tickets)$1536.00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32"/>
          <w:szCs w:val="32"/>
        </w:rPr>
        <w:tab/>
        <w:tab/>
        <w:t xml:space="preserve">*Please see separate accounting for MC Night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32"/>
          <w:szCs w:val="32"/>
        </w:rPr>
        <w:tab/>
      </w:r>
      <w:r w:rsidDel="00000000" w:rsidR="00000000" w:rsidRPr="00000000">
        <w:rPr>
          <w:b w:val="1"/>
          <w:color w:val="ff0000"/>
          <w:sz w:val="40"/>
          <w:szCs w:val="40"/>
        </w:rPr>
        <w:t xml:space="preserve">Withdrawals - Total $363.97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40"/>
          <w:szCs w:val="40"/>
        </w:rPr>
        <w:tab/>
      </w:r>
      <w:r w:rsidDel="00000000" w:rsidR="00000000" w:rsidRPr="00000000">
        <w:rPr>
          <w:color w:val="ff0000"/>
          <w:sz w:val="32"/>
          <w:szCs w:val="32"/>
        </w:rPr>
        <w:t xml:space="preserve">MC Night expenses</w:t>
        <w:tab/>
        <w:tab/>
        <w:tab/>
        <w:tab/>
        <w:tab/>
        <w:t xml:space="preserve">$363.97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32"/>
          <w:szCs w:val="32"/>
        </w:rPr>
        <w:tab/>
        <w:tab/>
        <w:t xml:space="preserve">*</w:t>
      </w:r>
      <w:r w:rsidDel="00000000" w:rsidR="00000000" w:rsidRPr="00000000">
        <w:rPr>
          <w:color w:val="ff0000"/>
          <w:sz w:val="32"/>
          <w:szCs w:val="32"/>
        </w:rPr>
        <w:t xml:space="preserve">please see separate accounting for MC Night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8000"/>
          <w:sz w:val="40"/>
          <w:szCs w:val="40"/>
        </w:rPr>
        <w:t xml:space="preserve">Balance of General Account as of April 30, 2015: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8000"/>
          <w:sz w:val="40"/>
          <w:szCs w:val="4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8000"/>
          <w:sz w:val="40"/>
          <w:szCs w:val="40"/>
          <w:highlight w:val="yellow"/>
        </w:rPr>
        <w:t xml:space="preserve">$8593.99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40"/>
          <w:szCs w:val="4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40"/>
          <w:szCs w:val="40"/>
        </w:rPr>
        <w:tab/>
        <w:tab/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</w:rPr>
        <w:t xml:space="preserve">David Livingstone School PAC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</w:rPr>
        <w:t xml:space="preserve">Treasurer’s Report April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40"/>
          <w:szCs w:val="40"/>
          <w:u w:val="single"/>
        </w:rPr>
        <w:t xml:space="preserve">Gaming Account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</w:rPr>
        <w:t xml:space="preserve">Opening Balance:</w:t>
        <w:tab/>
        <w:tab/>
        <w:tab/>
        <w:tab/>
        <w:tab/>
        <w:tab/>
        <w:t xml:space="preserve">$1182.08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</w:rPr>
        <w:t xml:space="preserve">Monthly activity:</w:t>
      </w:r>
      <w:r w:rsidDel="00000000" w:rsidR="00000000" w:rsidRPr="00000000">
        <w:rPr>
          <w:b w:val="1"/>
          <w:i w:val="1"/>
          <w:sz w:val="40"/>
          <w:szCs w:val="40"/>
          <w:u w:val="single"/>
        </w:rPr>
        <w:t xml:space="preserve">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</w:rPr>
        <w:tab/>
        <w:t xml:space="preserve">Deposits - Total $1259.00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</w:rPr>
        <w:tab/>
        <w:tab/>
      </w:r>
      <w:r w:rsidDel="00000000" w:rsidR="00000000" w:rsidRPr="00000000">
        <w:rPr>
          <w:sz w:val="32"/>
          <w:szCs w:val="32"/>
        </w:rPr>
        <w:t xml:space="preserve">MC Night (50/50, raffle, float reimbursement)$1259.00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</w:rPr>
        <w:tab/>
        <w:tab/>
        <w:tab/>
        <w:t xml:space="preserve">*please see separate accounting for MC Night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</w:rPr>
        <w:tab/>
      </w:r>
      <w:r w:rsidDel="00000000" w:rsidR="00000000" w:rsidRPr="00000000">
        <w:rPr>
          <w:b w:val="1"/>
          <w:color w:val="ff0000"/>
          <w:sz w:val="40"/>
          <w:szCs w:val="40"/>
        </w:rPr>
        <w:t xml:space="preserve">Withdrawals - Total $273.59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40"/>
          <w:szCs w:val="40"/>
        </w:rPr>
        <w:tab/>
        <w:tab/>
      </w:r>
      <w:r w:rsidDel="00000000" w:rsidR="00000000" w:rsidRPr="00000000">
        <w:rPr>
          <w:color w:val="ff0000"/>
          <w:sz w:val="32"/>
          <w:szCs w:val="32"/>
        </w:rPr>
        <w:t xml:space="preserve">MC Night Expenses</w:t>
        <w:tab/>
        <w:tab/>
        <w:tab/>
        <w:tab/>
        <w:t xml:space="preserve">$73.59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32"/>
          <w:szCs w:val="32"/>
        </w:rPr>
        <w:tab/>
        <w:tab/>
        <w:t xml:space="preserve">2nd Float for 50/50</w:t>
        <w:tab/>
        <w:tab/>
        <w:tab/>
        <w:tab/>
        <w:t xml:space="preserve">$200.00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32"/>
          <w:szCs w:val="32"/>
        </w:rPr>
        <w:tab/>
        <w:tab/>
        <w:tab/>
        <w:t xml:space="preserve">*please see separate accounting for MC Night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8000"/>
          <w:sz w:val="40"/>
          <w:szCs w:val="40"/>
        </w:rPr>
        <w:t xml:space="preserve">Balance of Gaming Account as of April 30, 2015: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8000"/>
          <w:sz w:val="40"/>
          <w:szCs w:val="4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8000"/>
          <w:sz w:val="40"/>
          <w:szCs w:val="40"/>
          <w:highlight w:val="yellow"/>
        </w:rPr>
        <w:t xml:space="preserve">$2167.49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720" w:top="720" w:left="1134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color w:val="000000"/>
        <w:sz w:val="22"/>
        <w:szCs w:val="22"/>
        <w:vertAlign w:val="baseline"/>
      </w:rPr>
    </w:rPrDefault>
    <w:pPrDefault>
      <w:pPr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